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7C" w:rsidRDefault="00AE3D5C">
      <w:pPr>
        <w:pStyle w:val="2"/>
        <w:jc w:val="center"/>
        <w:rPr>
          <w:rFonts w:ascii="Tinos" w:eastAsiaTheme="minorHAnsi" w:hAnsi="Tinos" w:cstheme="minorBidi"/>
          <w:b w:val="0"/>
          <w:sz w:val="26"/>
          <w:szCs w:val="26"/>
        </w:rPr>
      </w:pPr>
      <w:bookmarkStart w:id="0" w:name="_GoBack"/>
      <w:bookmarkEnd w:id="0"/>
      <w:r>
        <w:rPr>
          <w:rFonts w:ascii="Tinos" w:eastAsiaTheme="minorHAnsi" w:hAnsi="Tinos" w:cstheme="minorBidi"/>
          <w:b w:val="0"/>
          <w:sz w:val="26"/>
          <w:szCs w:val="26"/>
        </w:rPr>
        <w:t>ПАМЯТКА ПОЖАРНОЙ БЕЗОПАСНОСТИ ДЛЯ ДЕТЕЙ В ПЕРИОД КАНИКУЛ!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 большинства школьников начались каникулы – чудесное время, которое так ожидаемо любым ребенком. Но, как ни странно, на каникулах тоже следует кое о чем позаботиться. Речь идет о правилах пожарной</w:t>
      </w:r>
      <w:r>
        <w:rPr>
          <w:rFonts w:ascii="Tinos" w:hAnsi="Tinos"/>
          <w:sz w:val="26"/>
          <w:szCs w:val="26"/>
        </w:rPr>
        <w:t xml:space="preserve"> безопасности жизнедеятельности.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</w:t>
      </w:r>
      <w:r>
        <w:rPr>
          <w:rFonts w:ascii="Tinos" w:hAnsi="Tinos"/>
          <w:sz w:val="26"/>
          <w:szCs w:val="26"/>
        </w:rPr>
        <w:t xml:space="preserve">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</w:t>
      </w:r>
      <w:r>
        <w:rPr>
          <w:rFonts w:ascii="Tinos" w:hAnsi="Tinos"/>
          <w:sz w:val="26"/>
          <w:szCs w:val="26"/>
        </w:rPr>
        <w:t>и. Научить детей правилам поведения – долг всех взрослых людей (родителей, родственников, педагогов).</w:t>
      </w:r>
    </w:p>
    <w:tbl>
      <w:tblPr>
        <w:tblW w:w="10205" w:type="dxa"/>
        <w:shd w:val="clear" w:color="auto" w:fill="FFFFFF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5118"/>
      </w:tblGrid>
      <w:tr w:rsidR="0001367C">
        <w:tc>
          <w:tcPr>
            <w:tcW w:w="5087" w:type="dxa"/>
            <w:tcBorders>
              <w:top w:val="single" w:sz="2" w:space="0" w:color="E9ECEF"/>
            </w:tcBorders>
            <w:shd w:val="clear" w:color="auto" w:fill="FFFFFF"/>
            <w:vAlign w:val="center"/>
          </w:tcPr>
          <w:p w:rsidR="0001367C" w:rsidRDefault="00AE3D5C">
            <w:pPr>
              <w:pStyle w:val="ad"/>
            </w:pPr>
            <w:r>
              <w:rPr>
                <w:noProof/>
                <w:lang w:eastAsia="ru-RU"/>
              </w:rPr>
              <w:drawing>
                <wp:inline distT="19050" distB="19050" distL="19050" distR="19050">
                  <wp:extent cx="2907030" cy="238188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23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  <w:tcBorders>
              <w:top w:val="single" w:sz="2" w:space="0" w:color="E9ECEF"/>
            </w:tcBorders>
            <w:shd w:val="clear" w:color="auto" w:fill="FFFFFF"/>
            <w:vAlign w:val="center"/>
          </w:tcPr>
          <w:p w:rsidR="0001367C" w:rsidRDefault="00AE3D5C">
            <w:pPr>
              <w:pStyle w:val="ad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17145</wp:posOffset>
                  </wp:positionV>
                  <wp:extent cx="2711450" cy="2418080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241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1367C" w:rsidRDefault="00AE3D5C">
      <w:pPr>
        <w:pStyle w:val="a1"/>
        <w:jc w:val="both"/>
        <w:rPr>
          <w:sz w:val="40"/>
          <w:szCs w:val="40"/>
        </w:rPr>
      </w:pPr>
      <w:r>
        <w:rPr>
          <w:color w:val="212529"/>
        </w:rPr>
        <w:t> 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</w:t>
      </w:r>
      <w:r>
        <w:rPr>
          <w:rFonts w:ascii="Tinos" w:hAnsi="Tinos"/>
          <w:sz w:val="26"/>
          <w:szCs w:val="26"/>
        </w:rPr>
        <w:t>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</w:t>
      </w:r>
      <w:r>
        <w:rPr>
          <w:rFonts w:ascii="Tinos" w:hAnsi="Tinos"/>
          <w:sz w:val="26"/>
          <w:szCs w:val="26"/>
        </w:rPr>
        <w:t>ектронагревательными приборами опасна для здоровья и для жизни.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</w:t>
      </w:r>
      <w:r>
        <w:rPr>
          <w:rFonts w:ascii="Tinos" w:hAnsi="Tinos"/>
          <w:sz w:val="26"/>
          <w:szCs w:val="26"/>
        </w:rPr>
        <w:t>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</w:t>
      </w:r>
      <w:r>
        <w:rPr>
          <w:rFonts w:ascii="Tinos" w:hAnsi="Tinos"/>
          <w:sz w:val="26"/>
          <w:szCs w:val="26"/>
        </w:rPr>
        <w:t>. Ребенок должен знать, что номер пожарной службы — 101 или единый номер службы спасения 112.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</w:t>
      </w:r>
      <w:r>
        <w:rPr>
          <w:rFonts w:ascii="Tinos" w:hAnsi="Tinos"/>
          <w:sz w:val="26"/>
          <w:szCs w:val="26"/>
        </w:rPr>
        <w:t xml:space="preserve">м им это. </w:t>
      </w:r>
      <w:r>
        <w:rPr>
          <w:rFonts w:ascii="Tinos" w:hAnsi="Tinos"/>
          <w:sz w:val="26"/>
          <w:szCs w:val="26"/>
        </w:rPr>
        <w:lastRenderedPageBreak/>
        <w:t>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Причинами пожаров с гибелью детей часто становится детская шалость с огнём. Условиями, способству</w:t>
      </w:r>
      <w:r>
        <w:rPr>
          <w:rFonts w:ascii="Tinos" w:hAnsi="Tinos"/>
          <w:sz w:val="26"/>
          <w:szCs w:val="26"/>
        </w:rPr>
        <w:t>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Для того, чтобы в Вашу семью не пришла беда надо совсем немного: просто</w:t>
      </w:r>
      <w:r>
        <w:rPr>
          <w:rFonts w:ascii="Tinos" w:hAnsi="Tinos"/>
          <w:sz w:val="26"/>
          <w:szCs w:val="26"/>
        </w:rPr>
        <w:t xml:space="preserve"> чаще проводить профилактические беседы со своими детьми, объяснять им, к чему может привести шалость с огнем.</w:t>
      </w:r>
    </w:p>
    <w:p w:rsidR="0001367C" w:rsidRDefault="00AE3D5C">
      <w:pPr>
        <w:pStyle w:val="a1"/>
        <w:jc w:val="both"/>
      </w:pPr>
      <w:r>
        <w:rPr>
          <w:rFonts w:ascii="Tinos" w:hAnsi="Tinos"/>
          <w:sz w:val="26"/>
          <w:szCs w:val="26"/>
        </w:rPr>
        <w:t>Меры по предупреждению пожаров от шалости детей не сложны. Их </w:t>
      </w:r>
      <w:r>
        <w:rPr>
          <w:rStyle w:val="a7"/>
          <w:rFonts w:ascii="Tinos" w:hAnsi="Tinos"/>
          <w:sz w:val="26"/>
          <w:szCs w:val="26"/>
        </w:rPr>
        <w:t>необходимо запомнить</w:t>
      </w:r>
      <w:r>
        <w:rPr>
          <w:rFonts w:ascii="Tinos" w:hAnsi="Tinos"/>
          <w:sz w:val="26"/>
          <w:szCs w:val="26"/>
        </w:rPr>
        <w:t>:</w:t>
      </w:r>
    </w:p>
    <w:p w:rsidR="0001367C" w:rsidRDefault="00AE3D5C">
      <w:pPr>
        <w:pStyle w:val="a1"/>
        <w:numPr>
          <w:ilvl w:val="0"/>
          <w:numId w:val="1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Спички хранят в недоступных для детей местах;</w:t>
      </w:r>
    </w:p>
    <w:p w:rsidR="0001367C" w:rsidRDefault="00AE3D5C">
      <w:pPr>
        <w:pStyle w:val="a1"/>
        <w:numPr>
          <w:ilvl w:val="0"/>
          <w:numId w:val="1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Детям запрещает</w:t>
      </w:r>
      <w:r>
        <w:rPr>
          <w:rFonts w:ascii="Tinos" w:hAnsi="Tinos"/>
          <w:sz w:val="26"/>
          <w:szCs w:val="26"/>
        </w:rPr>
        <w:t>ся покупать спички, зажигалки, сигареты, пиротехнику (это как правило относится к работникам торговой сети);</w:t>
      </w:r>
    </w:p>
    <w:p w:rsidR="0001367C" w:rsidRDefault="00AE3D5C">
      <w:pPr>
        <w:pStyle w:val="a1"/>
        <w:numPr>
          <w:ilvl w:val="0"/>
          <w:numId w:val="1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Детей нельзя запирать в квартирах одних (сколько трагедий произошло в результате этого);</w:t>
      </w:r>
    </w:p>
    <w:p w:rsidR="0001367C" w:rsidRDefault="00AE3D5C">
      <w:pPr>
        <w:pStyle w:val="a1"/>
        <w:numPr>
          <w:ilvl w:val="0"/>
          <w:numId w:val="1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Запрещается доверять детям наблюдать за топящимися печами </w:t>
      </w:r>
      <w:r>
        <w:rPr>
          <w:rFonts w:ascii="Tinos" w:hAnsi="Tinos"/>
          <w:sz w:val="26"/>
          <w:szCs w:val="26"/>
        </w:rPr>
        <w:t>и нагревательными приборами;</w:t>
      </w:r>
    </w:p>
    <w:p w:rsidR="0001367C" w:rsidRDefault="00AE3D5C">
      <w:pPr>
        <w:pStyle w:val="a1"/>
        <w:numPr>
          <w:ilvl w:val="0"/>
          <w:numId w:val="1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Нельзя разрешать малолетним детям включать электронагревательные приборы, газовые плиты и т.д.</w:t>
      </w:r>
    </w:p>
    <w:p w:rsidR="0001367C" w:rsidRDefault="00AE3D5C">
      <w:pPr>
        <w:pStyle w:val="a1"/>
        <w:jc w:val="both"/>
      </w:pPr>
      <w:r>
        <w:rPr>
          <w:rStyle w:val="a7"/>
          <w:rFonts w:ascii="Tinos" w:hAnsi="Tinos"/>
          <w:sz w:val="26"/>
          <w:szCs w:val="26"/>
        </w:rPr>
        <w:t>Обязанность каждого взрослого - пресекать всякие игры с огнём, разъяснять детям их опасность</w:t>
      </w:r>
      <w:r>
        <w:rPr>
          <w:rFonts w:ascii="Tinos" w:hAnsi="Tinos"/>
          <w:sz w:val="26"/>
          <w:szCs w:val="26"/>
        </w:rPr>
        <w:t>.</w:t>
      </w:r>
    </w:p>
    <w:p w:rsidR="0001367C" w:rsidRDefault="00AE3D5C">
      <w:pPr>
        <w:pStyle w:val="a1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Каждый ребенок, независимо от </w:t>
      </w:r>
      <w:r>
        <w:rPr>
          <w:rFonts w:ascii="Tinos" w:hAnsi="Tinos"/>
          <w:sz w:val="26"/>
          <w:szCs w:val="26"/>
        </w:rPr>
        <w:t>возраста, обязан знать несколько простых правил безопасности. Иначе каникулы могут привести к неприятным последствиям.</w:t>
      </w:r>
    </w:p>
    <w:p w:rsidR="0001367C" w:rsidRDefault="00AE3D5C">
      <w:pPr>
        <w:pStyle w:val="3"/>
        <w:spacing w:before="0" w:after="140" w:line="288" w:lineRule="auto"/>
        <w:rPr>
          <w:rFonts w:ascii="Tinos" w:eastAsiaTheme="minorHAnsi" w:hAnsi="Tinos" w:cstheme="minorBidi"/>
          <w:b w:val="0"/>
          <w:sz w:val="26"/>
          <w:szCs w:val="26"/>
        </w:rPr>
      </w:pPr>
      <w:r>
        <w:rPr>
          <w:rFonts w:ascii="Tinos" w:eastAsiaTheme="minorHAnsi" w:hAnsi="Tinos" w:cstheme="minorBidi"/>
          <w:b w:val="0"/>
          <w:sz w:val="26"/>
          <w:szCs w:val="26"/>
        </w:rPr>
        <w:t>Общие правила поведения во время каникул:</w:t>
      </w:r>
    </w:p>
    <w:p w:rsidR="0001367C" w:rsidRDefault="00AE3D5C">
      <w:pPr>
        <w:pStyle w:val="a1"/>
        <w:numPr>
          <w:ilvl w:val="0"/>
          <w:numId w:val="2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Нужно соблюдать все правила пожарной безопасности!</w:t>
      </w:r>
    </w:p>
    <w:p w:rsidR="0001367C" w:rsidRDefault="00AE3D5C">
      <w:pPr>
        <w:pStyle w:val="a1"/>
        <w:numPr>
          <w:ilvl w:val="0"/>
          <w:numId w:val="2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Запрещается разжигать костры!</w:t>
      </w:r>
    </w:p>
    <w:p w:rsidR="0001367C" w:rsidRDefault="00AE3D5C">
      <w:pPr>
        <w:pStyle w:val="a1"/>
        <w:numPr>
          <w:ilvl w:val="0"/>
          <w:numId w:val="2"/>
        </w:numPr>
        <w:tabs>
          <w:tab w:val="left" w:pos="0"/>
        </w:tabs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Необходимо быт</w:t>
      </w:r>
      <w:r>
        <w:rPr>
          <w:rFonts w:ascii="Tinos" w:hAnsi="Tinos"/>
          <w:sz w:val="26"/>
          <w:szCs w:val="26"/>
        </w:rPr>
        <w:t>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:rsidR="0001367C" w:rsidRDefault="00AE3D5C">
      <w:pPr>
        <w:pStyle w:val="a1"/>
        <w:numPr>
          <w:ilvl w:val="0"/>
          <w:numId w:val="2"/>
        </w:numPr>
        <w:tabs>
          <w:tab w:val="left" w:pos="0"/>
        </w:tabs>
      </w:pPr>
      <w:r>
        <w:rPr>
          <w:rFonts w:ascii="Tinos" w:hAnsi="Tinos"/>
          <w:sz w:val="26"/>
          <w:szCs w:val="26"/>
        </w:rPr>
        <w:t>Необходимо соблюдать технику безопасности при пользовании газовыми приборами!</w:t>
      </w:r>
    </w:p>
    <w:p w:rsidR="0001367C" w:rsidRDefault="00AE3D5C">
      <w:pPr>
        <w:pStyle w:val="a1"/>
        <w:ind w:left="707"/>
        <w:rPr>
          <w:b/>
          <w:bCs/>
          <w:i/>
          <w:iCs/>
        </w:rPr>
      </w:pPr>
      <w:r>
        <w:rPr>
          <w:rFonts w:ascii="Tinos" w:hAnsi="Tinos"/>
          <w:b/>
          <w:bCs/>
          <w:i/>
          <w:iCs/>
          <w:sz w:val="26"/>
          <w:szCs w:val="26"/>
        </w:rPr>
        <w:t>ОНПР по Зеленоградск</w:t>
      </w:r>
      <w:r>
        <w:rPr>
          <w:rFonts w:ascii="Tinos" w:hAnsi="Tinos"/>
          <w:b/>
          <w:bCs/>
          <w:i/>
          <w:iCs/>
          <w:sz w:val="26"/>
          <w:szCs w:val="26"/>
        </w:rPr>
        <w:t>ому, Пионерскому, Светлогорскому и Янтарному городским округам напоминает: научите детей  простых правил, чтобы быть спокойными за их жизнь и здоровье!</w:t>
      </w:r>
    </w:p>
    <w:p w:rsidR="0001367C" w:rsidRDefault="0001367C">
      <w:pPr>
        <w:pStyle w:val="af"/>
        <w:ind w:firstLine="0"/>
        <w:jc w:val="center"/>
      </w:pPr>
    </w:p>
    <w:sectPr w:rsidR="0001367C">
      <w:pgSz w:w="11906" w:h="16838"/>
      <w:pgMar w:top="1134" w:right="567" w:bottom="993" w:left="1134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26B"/>
    <w:multiLevelType w:val="multilevel"/>
    <w:tmpl w:val="BB38E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94777F"/>
    <w:multiLevelType w:val="multilevel"/>
    <w:tmpl w:val="2256AB1C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5EB268E"/>
    <w:multiLevelType w:val="multilevel"/>
    <w:tmpl w:val="79FE97CE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38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7C"/>
    <w:rsid w:val="0001367C"/>
    <w:rsid w:val="00A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86232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8623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formattext">
    <w:name w:val="formattext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styleId="af">
    <w:name w:val="Body Text Indent"/>
    <w:basedOn w:val="a"/>
    <w:qFormat/>
    <w:pPr>
      <w:ind w:firstLine="709"/>
      <w:jc w:val="both"/>
    </w:pPr>
  </w:style>
  <w:style w:type="table" w:styleId="af0">
    <w:name w:val="Table Grid"/>
    <w:basedOn w:val="a3"/>
    <w:rsid w:val="0088322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86232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8623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formattext">
    <w:name w:val="formattext"/>
    <w:basedOn w:val="a"/>
    <w:qFormat/>
    <w:pPr>
      <w:suppressAutoHyphens w:val="0"/>
      <w:spacing w:before="280" w:after="280"/>
    </w:pPr>
    <w:rPr>
      <w:sz w:val="24"/>
      <w:szCs w:val="24"/>
    </w:rPr>
  </w:style>
  <w:style w:type="paragraph" w:styleId="af">
    <w:name w:val="Body Text Indent"/>
    <w:basedOn w:val="a"/>
    <w:qFormat/>
    <w:pPr>
      <w:ind w:firstLine="709"/>
      <w:jc w:val="both"/>
    </w:pPr>
  </w:style>
  <w:style w:type="table" w:styleId="af0">
    <w:name w:val="Table Grid"/>
    <w:basedOn w:val="a3"/>
    <w:rsid w:val="0088322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enina-56.ru/assets/files/images/pamyatki/po-pojarnoy-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2024-06-18T14:57:00Z</dcterms:created>
  <dcterms:modified xsi:type="dcterms:W3CDTF">2024-06-18T14:57:00Z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